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360" w:lineRule="auto"/>
        <w:ind w:right="31680" w:rightChars="-191"/>
        <w:rPr>
          <w:rFonts w:ascii="仿宋_GB2312" w:hAnsi="宋体" w:eastAsia="仿宋_GB2312"/>
          <w:sz w:val="32"/>
          <w:szCs w:val="32"/>
        </w:rPr>
      </w:pPr>
      <w:r>
        <w:rPr>
          <w:rFonts w:ascii="Times New Roman" w:hAnsi="Times New Roman" w:eastAsia="宋体" w:cs="Times New Roman"/>
          <w:kern w:val="2"/>
          <w:sz w:val="21"/>
          <w:szCs w:val="24"/>
          <w:lang w:val="en-US" w:eastAsia="zh-CN" w:bidi="ar-SA"/>
        </w:rPr>
        <w:pict>
          <v:shape id="Quad Arrow 2" o:spid="_x0000_s1026" type="#_x0000_t202" style="position:absolute;left:0;margin-left:0.45pt;margin-top:52.15pt;height:131.4pt;width:341.25pt;rotation:0f;z-index:251659264;" o:ole="f" fillcolor="#FFFFFF" filled="t" o:preferrelative="t" stroked="t" coordorigin="0,0" coordsize="21600,21600">
            <v:stroke color="#FFFFFF" color2="#FFFFFF" miterlimit="2"/>
            <v:imagedata gain="65536f" blacklevel="0f" gamma="0"/>
            <o:lock v:ext="edit" position="f" selection="f" grouping="f" rotation="f" cropping="f" text="f" aspectratio="f"/>
            <v:textbox>
              <w:txbxContent>
                <w:p>
                  <w:pPr>
                    <w:rPr>
                      <w:b/>
                      <w:spacing w:val="100"/>
                    </w:rPr>
                  </w:pPr>
                  <w:r>
                    <w:rPr>
                      <w:rFonts w:hint="eastAsia" w:ascii="仿宋_GB2312" w:hAnsi="宋体" w:eastAsia="仿宋_GB2312"/>
                      <w:b/>
                      <w:color w:val="FF0000"/>
                      <w:sz w:val="72"/>
                      <w:szCs w:val="72"/>
                    </w:rPr>
                    <w:t>山东省教育科学规划</w:t>
                  </w:r>
                  <w:r>
                    <w:rPr>
                      <w:rFonts w:hint="eastAsia" w:ascii="仿宋_GB2312" w:hAnsi="宋体" w:eastAsia="仿宋_GB2312"/>
                      <w:b/>
                      <w:color w:val="FF0000"/>
                      <w:spacing w:val="100"/>
                      <w:sz w:val="72"/>
                      <w:szCs w:val="72"/>
                    </w:rPr>
                    <w:t>领导小组办公室</w:t>
                  </w:r>
                </w:p>
              </w:txbxContent>
            </v:textbox>
          </v:shape>
        </w:pict>
      </w:r>
      <w:r>
        <w:rPr>
          <w:rFonts w:ascii="仿宋_GB2312" w:hAnsi="宋体" w:eastAsia="仿宋_GB2312" w:cs="Times New Roman"/>
          <w:b/>
          <w:color w:val="FF0000"/>
          <w:kern w:val="2"/>
          <w:sz w:val="72"/>
          <w:szCs w:val="72"/>
          <w:lang w:val="en-US" w:eastAsia="zh-CN" w:bidi="ar-SA"/>
        </w:rPr>
        <w:pict>
          <v:group id="Group 3" o:spid="_x0000_s1027" style="height:167.4pt;width:342pt;rotation:0f;" coordorigin="2362,2230" coordsize="5947,2915">
            <o:lock v:ext="edit" position="f" selection="f" grouping="f" rotation="f" cropping="f" text="t" aspectratio="t"/>
            <v:shape id="Picture 4" o:spid="_x0000_s1028" type="#_x0000_t75" style="position:absolute;left:2362;top:2230;height:2915;width:5947;rotation:0f;" o:ole="f" fillcolor="#FFFFFF" filled="f" o:preferrelative="f" stroked="f" coordorigin="0,0" coordsize="21600,21600">
              <v:fill on="f" color2="#FFFFFF" focus="0%"/>
              <v:imagedata gain="65536f" blacklevel="0f" gamma="0"/>
              <o:lock v:ext="edit" position="f" selection="f" grouping="f" rotation="f" cropping="f" text="t" aspectratio="t"/>
            </v:shape>
            <w10:wrap type="none"/>
            <w10:anchorlock/>
          </v:group>
        </w:pict>
      </w:r>
      <w:r>
        <w:rPr>
          <w:rFonts w:hint="eastAsia" w:ascii="仿宋_GB2312" w:hAnsi="宋体" w:eastAsia="仿宋_GB2312"/>
          <w:b/>
          <w:color w:val="FF0000"/>
          <w:position w:val="50"/>
          <w:sz w:val="90"/>
          <w:szCs w:val="90"/>
        </w:rPr>
        <w:t>文件</w:t>
      </w:r>
    </w:p>
    <w:p>
      <w:pPr>
        <w:adjustRightInd w:val="0"/>
        <w:snapToGrid w:val="0"/>
        <w:spacing w:line="360" w:lineRule="auto"/>
        <w:jc w:val="center"/>
        <w:rPr>
          <w:rFonts w:ascii="仿宋" w:hAnsi="仿宋" w:eastAsia="仿宋"/>
          <w:sz w:val="32"/>
          <w:szCs w:val="32"/>
        </w:rPr>
      </w:pPr>
      <w:r>
        <w:rPr>
          <w:rFonts w:ascii="Times New Roman" w:hAnsi="Times New Roman" w:eastAsia="宋体" w:cs="Times New Roman"/>
          <w:kern w:val="2"/>
          <w:sz w:val="21"/>
          <w:szCs w:val="24"/>
          <w:lang w:val="en-US" w:eastAsia="zh-CN" w:bidi="ar-SA"/>
        </w:rPr>
        <w:pict>
          <v:line id="Line 5" o:spid="_x0000_s1029" style="position:absolute;left:0;margin-left:-41.2pt;margin-top:39.15pt;height:0.05pt;width:526.05pt;rotation:0f;z-index:251660288;" o:ole="f" fillcolor="#FFFFFF" filled="f" o:preferrelative="t" stroked="t" coordsize="21600,21600">
            <v:fill on="f" color2="#FFFFFF" focus="0%"/>
            <v:stroke color="#FF0000" color2="#FFFFFF" miterlimit="2"/>
            <v:imagedata gain="65536f" blacklevel="0f" gamma="0"/>
            <o:lock v:ext="edit" position="f" selection="f" grouping="f" rotation="f" cropping="f" text="f" aspectratio="f"/>
          </v:line>
        </w:pict>
      </w:r>
      <w:r>
        <w:rPr>
          <w:rFonts w:hint="eastAsia" w:ascii="仿宋" w:hAnsi="仿宋" w:eastAsia="仿宋"/>
          <w:sz w:val="32"/>
          <w:szCs w:val="32"/>
        </w:rPr>
        <w:t>鲁教规字</w:t>
      </w:r>
      <w:r>
        <w:rPr>
          <w:rFonts w:ascii="仿宋" w:hAnsi="仿宋" w:eastAsia="仿宋"/>
          <w:sz w:val="32"/>
          <w:szCs w:val="32"/>
        </w:rPr>
        <w:t>[2015]1</w:t>
      </w:r>
      <w:r>
        <w:rPr>
          <w:rFonts w:hint="eastAsia" w:ascii="仿宋" w:hAnsi="仿宋" w:eastAsia="仿宋"/>
          <w:sz w:val="32"/>
          <w:szCs w:val="32"/>
        </w:rPr>
        <w:t>号</w:t>
      </w:r>
      <w:bookmarkStart w:id="0" w:name="_GoBack"/>
      <w:bookmarkEnd w:id="0"/>
    </w:p>
    <w:p>
      <w:pPr>
        <w:jc w:val="center"/>
        <w:rPr>
          <w:rFonts w:ascii="黑体" w:eastAsia="黑体"/>
          <w:sz w:val="36"/>
          <w:szCs w:val="36"/>
        </w:rPr>
      </w:pPr>
    </w:p>
    <w:p>
      <w:pPr>
        <w:spacing w:line="560" w:lineRule="exact"/>
        <w:jc w:val="center"/>
        <w:rPr>
          <w:rFonts w:ascii="宋体"/>
          <w:b/>
          <w:sz w:val="44"/>
          <w:szCs w:val="32"/>
        </w:rPr>
      </w:pPr>
      <w:r>
        <w:rPr>
          <w:rFonts w:hint="eastAsia" w:ascii="宋体" w:hAnsi="宋体"/>
          <w:b/>
          <w:sz w:val="44"/>
          <w:szCs w:val="32"/>
        </w:rPr>
        <w:t>关于转发《</w:t>
      </w:r>
      <w:r>
        <w:rPr>
          <w:rFonts w:hint="eastAsia" w:ascii="宋体" w:hAnsi="宋体" w:cs="宋体"/>
          <w:b/>
          <w:color w:val="000000"/>
          <w:kern w:val="0"/>
          <w:sz w:val="44"/>
          <w:szCs w:val="32"/>
        </w:rPr>
        <w:t>教育部办公厅关于做好全国教育科学“十二五”规划</w:t>
      </w:r>
      <w:r>
        <w:rPr>
          <w:rFonts w:ascii="宋体" w:hAnsi="宋体" w:cs="宋体"/>
          <w:b/>
          <w:color w:val="000000"/>
          <w:kern w:val="0"/>
          <w:sz w:val="44"/>
          <w:szCs w:val="32"/>
        </w:rPr>
        <w:t>2015</w:t>
      </w:r>
      <w:r>
        <w:rPr>
          <w:rFonts w:hint="eastAsia" w:ascii="宋体" w:hAnsi="宋体" w:cs="宋体"/>
          <w:b/>
          <w:color w:val="000000"/>
          <w:kern w:val="0"/>
          <w:sz w:val="44"/>
          <w:szCs w:val="32"/>
        </w:rPr>
        <w:t>年度课题组织申报工作的通知</w:t>
      </w:r>
      <w:r>
        <w:rPr>
          <w:rFonts w:hint="eastAsia" w:ascii="宋体" w:hAnsi="宋体"/>
          <w:b/>
          <w:sz w:val="44"/>
          <w:szCs w:val="32"/>
        </w:rPr>
        <w:t>》的通知</w:t>
      </w:r>
    </w:p>
    <w:p>
      <w:pPr>
        <w:adjustRightInd w:val="0"/>
        <w:snapToGrid w:val="0"/>
        <w:jc w:val="center"/>
        <w:rPr>
          <w:rFonts w:ascii="仿宋" w:hAnsi="仿宋" w:eastAsia="仿宋"/>
          <w:b/>
          <w:sz w:val="32"/>
          <w:szCs w:val="32"/>
        </w:rPr>
      </w:pPr>
    </w:p>
    <w:p>
      <w:pPr>
        <w:adjustRightInd w:val="0"/>
        <w:snapToGrid w:val="0"/>
        <w:jc w:val="center"/>
        <w:rPr>
          <w:rFonts w:ascii="仿宋" w:hAnsi="仿宋" w:eastAsia="仿宋"/>
          <w:b/>
          <w:sz w:val="32"/>
          <w:szCs w:val="32"/>
        </w:rPr>
      </w:pPr>
    </w:p>
    <w:p>
      <w:pPr>
        <w:adjustRightInd w:val="0"/>
        <w:snapToGrid w:val="0"/>
        <w:spacing w:line="360" w:lineRule="auto"/>
        <w:rPr>
          <w:rFonts w:ascii="仿宋" w:hAnsi="仿宋" w:eastAsia="仿宋"/>
          <w:sz w:val="32"/>
          <w:szCs w:val="32"/>
        </w:rPr>
      </w:pPr>
      <w:r>
        <w:rPr>
          <w:rFonts w:hint="eastAsia" w:ascii="仿宋" w:hAnsi="仿宋" w:eastAsia="仿宋"/>
          <w:sz w:val="32"/>
          <w:szCs w:val="32"/>
        </w:rPr>
        <w:t>各市教育科学规划办、各有关高等院校科研处：</w:t>
      </w:r>
    </w:p>
    <w:p>
      <w:pPr>
        <w:adjustRightInd w:val="0"/>
        <w:snapToGrid w:val="0"/>
        <w:spacing w:line="360" w:lineRule="auto"/>
        <w:rPr>
          <w:rFonts w:ascii="仿宋" w:hAnsi="仿宋" w:eastAsia="仿宋"/>
          <w:sz w:val="32"/>
          <w:szCs w:val="32"/>
        </w:rPr>
      </w:pPr>
    </w:p>
    <w:p>
      <w:pPr>
        <w:adjustRightInd w:val="0"/>
        <w:snapToGrid w:val="0"/>
        <w:spacing w:line="360" w:lineRule="auto"/>
        <w:ind w:firstLine="31680" w:firstLineChars="200"/>
        <w:rPr>
          <w:rFonts w:ascii="仿宋" w:hAnsi="仿宋" w:eastAsia="仿宋"/>
          <w:sz w:val="32"/>
          <w:szCs w:val="32"/>
        </w:rPr>
      </w:pPr>
      <w:r>
        <w:rPr>
          <w:rFonts w:hint="eastAsia" w:ascii="仿宋" w:hAnsi="仿宋" w:eastAsia="仿宋" w:cs="宋体"/>
          <w:color w:val="000000"/>
          <w:kern w:val="0"/>
          <w:sz w:val="32"/>
          <w:szCs w:val="32"/>
        </w:rPr>
        <w:t>经全国教育科学规划领导小组批准，按照全国教育科学规划管理的有关规定，全国教科规划办决定自</w:t>
      </w:r>
      <w:r>
        <w:rPr>
          <w:rFonts w:ascii="仿宋" w:hAnsi="仿宋" w:eastAsia="仿宋" w:cs="宋体"/>
          <w:color w:val="000000"/>
          <w:kern w:val="0"/>
          <w:sz w:val="32"/>
          <w:szCs w:val="32"/>
        </w:rPr>
        <w:t>2015</w:t>
      </w:r>
      <w:r>
        <w:rPr>
          <w:rFonts w:hint="eastAsia" w:ascii="仿宋" w:hAnsi="仿宋" w:eastAsia="仿宋" w:cs="宋体"/>
          <w:color w:val="000000"/>
          <w:kern w:val="0"/>
          <w:sz w:val="32"/>
          <w:szCs w:val="32"/>
        </w:rPr>
        <w:t>年</w:t>
      </w:r>
      <w:r>
        <w:rPr>
          <w:rFonts w:ascii="仿宋" w:hAnsi="仿宋" w:eastAsia="仿宋" w:cs="宋体"/>
          <w:color w:val="000000"/>
          <w:kern w:val="0"/>
          <w:sz w:val="32"/>
          <w:szCs w:val="32"/>
        </w:rPr>
        <w:t>6</w:t>
      </w:r>
      <w:r>
        <w:rPr>
          <w:rFonts w:hint="eastAsia" w:ascii="仿宋" w:hAnsi="仿宋" w:eastAsia="仿宋" w:cs="宋体"/>
          <w:color w:val="000000"/>
          <w:kern w:val="0"/>
          <w:sz w:val="32"/>
          <w:szCs w:val="32"/>
        </w:rPr>
        <w:t>月</w:t>
      </w:r>
      <w:r>
        <w:rPr>
          <w:rFonts w:ascii="仿宋" w:hAnsi="仿宋" w:eastAsia="仿宋" w:cs="宋体"/>
          <w:color w:val="000000"/>
          <w:kern w:val="0"/>
          <w:sz w:val="32"/>
          <w:szCs w:val="32"/>
        </w:rPr>
        <w:t>11</w:t>
      </w:r>
      <w:r>
        <w:rPr>
          <w:rFonts w:hint="eastAsia" w:ascii="仿宋" w:hAnsi="仿宋" w:eastAsia="仿宋" w:cs="宋体"/>
          <w:color w:val="000000"/>
          <w:kern w:val="0"/>
          <w:sz w:val="32"/>
          <w:szCs w:val="32"/>
        </w:rPr>
        <w:t>日起组织</w:t>
      </w:r>
      <w:r>
        <w:rPr>
          <w:rFonts w:ascii="仿宋" w:hAnsi="仿宋" w:eastAsia="仿宋" w:cs="宋体"/>
          <w:color w:val="000000"/>
          <w:kern w:val="0"/>
          <w:sz w:val="32"/>
          <w:szCs w:val="32"/>
        </w:rPr>
        <w:t>2015</w:t>
      </w:r>
      <w:r>
        <w:rPr>
          <w:rFonts w:hint="eastAsia" w:ascii="仿宋" w:hAnsi="仿宋" w:eastAsia="仿宋" w:cs="宋体"/>
          <w:color w:val="000000"/>
          <w:kern w:val="0"/>
          <w:sz w:val="32"/>
          <w:szCs w:val="32"/>
        </w:rPr>
        <w:t>年度课题申报工作。</w:t>
      </w:r>
      <w:r>
        <w:rPr>
          <w:rFonts w:hint="eastAsia" w:ascii="仿宋" w:hAnsi="仿宋" w:eastAsia="仿宋"/>
          <w:sz w:val="32"/>
          <w:szCs w:val="32"/>
        </w:rPr>
        <w:t>现将我省组织申报全国教育科学研究“十二五”规划</w:t>
      </w:r>
      <w:r>
        <w:rPr>
          <w:rFonts w:ascii="仿宋" w:hAnsi="仿宋" w:eastAsia="仿宋"/>
          <w:sz w:val="32"/>
          <w:szCs w:val="32"/>
        </w:rPr>
        <w:t>2015</w:t>
      </w:r>
      <w:r>
        <w:rPr>
          <w:rFonts w:hint="eastAsia" w:ascii="仿宋" w:hAnsi="仿宋" w:eastAsia="仿宋"/>
          <w:sz w:val="32"/>
          <w:szCs w:val="32"/>
        </w:rPr>
        <w:t>年度课题的有关事项通知如下：</w:t>
      </w:r>
    </w:p>
    <w:p>
      <w:pPr>
        <w:adjustRightInd w:val="0"/>
        <w:snapToGrid w:val="0"/>
        <w:spacing w:line="360" w:lineRule="auto"/>
        <w:rPr>
          <w:rFonts w:ascii="仿宋" w:hAnsi="仿宋" w:eastAsia="仿宋"/>
          <w:sz w:val="32"/>
          <w:szCs w:val="32"/>
        </w:rPr>
      </w:pPr>
      <w:r>
        <w:rPr>
          <w:rFonts w:ascii="仿宋" w:hAnsi="仿宋" w:eastAsia="仿宋"/>
          <w:sz w:val="32"/>
          <w:szCs w:val="32"/>
        </w:rPr>
        <w:t xml:space="preserve">    1.</w:t>
      </w:r>
      <w:r>
        <w:rPr>
          <w:rFonts w:hint="eastAsia" w:ascii="仿宋" w:hAnsi="仿宋" w:eastAsia="仿宋"/>
          <w:sz w:val="32"/>
          <w:szCs w:val="32"/>
        </w:rPr>
        <w:t>《教育部办公厅关于做好全国教育科学“十二五”规划</w:t>
      </w:r>
      <w:r>
        <w:rPr>
          <w:rFonts w:ascii="仿宋" w:hAnsi="仿宋" w:eastAsia="仿宋"/>
          <w:sz w:val="32"/>
          <w:szCs w:val="32"/>
        </w:rPr>
        <w:t>2015</w:t>
      </w:r>
      <w:r>
        <w:rPr>
          <w:rFonts w:hint="eastAsia" w:ascii="仿宋" w:hAnsi="仿宋" w:eastAsia="仿宋"/>
          <w:sz w:val="32"/>
          <w:szCs w:val="32"/>
        </w:rPr>
        <w:t>年度课题组织申报工作的通知》以及课题申报所需的各种材料均可从全国教育科学规划领导小组办公室网站（网址：</w:t>
      </w:r>
      <w:r>
        <w:rPr>
          <w:rFonts w:ascii="仿宋" w:hAnsi="仿宋" w:eastAsia="仿宋"/>
          <w:sz w:val="32"/>
          <w:szCs w:val="32"/>
        </w:rPr>
        <w:t>http://www.onsgep.moe.edu.cn</w:t>
      </w:r>
      <w:r>
        <w:rPr>
          <w:rFonts w:hint="eastAsia" w:ascii="仿宋" w:hAnsi="仿宋" w:eastAsia="仿宋"/>
          <w:sz w:val="32"/>
          <w:szCs w:val="32"/>
        </w:rPr>
        <w:t>）下载。</w:t>
      </w:r>
    </w:p>
    <w:p>
      <w:pPr>
        <w:adjustRightInd w:val="0"/>
        <w:snapToGrid w:val="0"/>
        <w:spacing w:line="360" w:lineRule="auto"/>
        <w:ind w:firstLine="3168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我省申报工作的具体安排为：</w:t>
      </w:r>
      <w:r>
        <w:rPr>
          <w:rFonts w:ascii="仿宋" w:hAnsi="仿宋" w:eastAsia="仿宋"/>
          <w:sz w:val="32"/>
          <w:szCs w:val="32"/>
        </w:rPr>
        <w:t>7</w:t>
      </w:r>
      <w:r>
        <w:rPr>
          <w:rFonts w:hint="eastAsia" w:ascii="仿宋" w:hAnsi="仿宋" w:eastAsia="仿宋"/>
          <w:sz w:val="32"/>
          <w:szCs w:val="32"/>
        </w:rPr>
        <w:t>月</w:t>
      </w:r>
      <w:r>
        <w:rPr>
          <w:rFonts w:ascii="仿宋" w:hAnsi="仿宋" w:eastAsia="仿宋"/>
          <w:sz w:val="32"/>
          <w:szCs w:val="32"/>
        </w:rPr>
        <w:t>27</w:t>
      </w:r>
      <w:r>
        <w:rPr>
          <w:rFonts w:hint="eastAsia" w:ascii="仿宋" w:hAnsi="仿宋" w:eastAsia="仿宋"/>
          <w:sz w:val="32"/>
          <w:szCs w:val="32"/>
        </w:rPr>
        <w:t>日至</w:t>
      </w:r>
      <w:r>
        <w:rPr>
          <w:rFonts w:ascii="仿宋" w:hAnsi="仿宋" w:eastAsia="仿宋"/>
          <w:sz w:val="32"/>
          <w:szCs w:val="32"/>
        </w:rPr>
        <w:t>7</w:t>
      </w:r>
      <w:r>
        <w:rPr>
          <w:rFonts w:hint="eastAsia" w:ascii="仿宋" w:hAnsi="仿宋" w:eastAsia="仿宋"/>
          <w:sz w:val="32"/>
          <w:szCs w:val="32"/>
        </w:rPr>
        <w:t>月</w:t>
      </w:r>
      <w:r>
        <w:rPr>
          <w:rFonts w:ascii="仿宋" w:hAnsi="仿宋" w:eastAsia="仿宋"/>
          <w:sz w:val="32"/>
          <w:szCs w:val="32"/>
        </w:rPr>
        <w:t>29</w:t>
      </w:r>
      <w:r>
        <w:rPr>
          <w:rFonts w:hint="eastAsia" w:ascii="仿宋" w:hAnsi="仿宋" w:eastAsia="仿宋"/>
          <w:sz w:val="32"/>
          <w:szCs w:val="32"/>
        </w:rPr>
        <w:t>日，各单位统一将审查合格的国家重大和重点招标课题《评审书》一式</w:t>
      </w:r>
      <w:r>
        <w:rPr>
          <w:rFonts w:ascii="仿宋" w:hAnsi="仿宋" w:eastAsia="仿宋"/>
          <w:sz w:val="32"/>
          <w:szCs w:val="32"/>
        </w:rPr>
        <w:t>6</w:t>
      </w:r>
      <w:r>
        <w:rPr>
          <w:rFonts w:hint="eastAsia" w:ascii="仿宋" w:hAnsi="仿宋" w:eastAsia="仿宋"/>
          <w:sz w:val="32"/>
          <w:szCs w:val="32"/>
        </w:rPr>
        <w:t>份（原件</w:t>
      </w:r>
      <w:r>
        <w:rPr>
          <w:rFonts w:ascii="仿宋" w:hAnsi="仿宋" w:eastAsia="仿宋"/>
          <w:sz w:val="32"/>
          <w:szCs w:val="32"/>
        </w:rPr>
        <w:t>1</w:t>
      </w:r>
      <w:r>
        <w:rPr>
          <w:rFonts w:hint="eastAsia" w:ascii="仿宋" w:hAnsi="仿宋" w:eastAsia="仿宋"/>
          <w:sz w:val="32"/>
          <w:szCs w:val="32"/>
        </w:rPr>
        <w:t>份，复印件</w:t>
      </w:r>
      <w:r>
        <w:rPr>
          <w:rFonts w:ascii="仿宋" w:hAnsi="仿宋" w:eastAsia="仿宋"/>
          <w:sz w:val="32"/>
          <w:szCs w:val="32"/>
        </w:rPr>
        <w:t>5</w:t>
      </w:r>
      <w:r>
        <w:rPr>
          <w:rFonts w:hint="eastAsia" w:ascii="仿宋" w:hAnsi="仿宋" w:eastAsia="仿宋"/>
          <w:sz w:val="32"/>
          <w:szCs w:val="32"/>
        </w:rPr>
        <w:t>份）；其他类别课题《评审书》一式</w:t>
      </w:r>
      <w:r>
        <w:rPr>
          <w:rFonts w:ascii="仿宋" w:hAnsi="仿宋" w:eastAsia="仿宋"/>
          <w:sz w:val="32"/>
          <w:szCs w:val="32"/>
        </w:rPr>
        <w:t>2</w:t>
      </w:r>
      <w:r>
        <w:rPr>
          <w:rFonts w:hint="eastAsia" w:ascii="仿宋" w:hAnsi="仿宋" w:eastAsia="仿宋"/>
          <w:sz w:val="32"/>
          <w:szCs w:val="32"/>
        </w:rPr>
        <w:t>份（原件</w:t>
      </w:r>
      <w:r>
        <w:rPr>
          <w:rFonts w:ascii="仿宋" w:hAnsi="仿宋" w:eastAsia="仿宋"/>
          <w:sz w:val="32"/>
          <w:szCs w:val="32"/>
        </w:rPr>
        <w:t>1</w:t>
      </w:r>
      <w:r>
        <w:rPr>
          <w:rFonts w:hint="eastAsia" w:ascii="仿宋" w:hAnsi="仿宋" w:eastAsia="仿宋"/>
          <w:sz w:val="32"/>
          <w:szCs w:val="32"/>
        </w:rPr>
        <w:t>份，复印件</w:t>
      </w:r>
      <w:r>
        <w:rPr>
          <w:rFonts w:ascii="仿宋" w:hAnsi="仿宋" w:eastAsia="仿宋"/>
          <w:sz w:val="32"/>
          <w:szCs w:val="32"/>
        </w:rPr>
        <w:t>1</w:t>
      </w:r>
      <w:r>
        <w:rPr>
          <w:rFonts w:hint="eastAsia" w:ascii="仿宋" w:hAnsi="仿宋" w:eastAsia="仿宋"/>
          <w:sz w:val="32"/>
          <w:szCs w:val="32"/>
        </w:rPr>
        <w:t>份），活页</w:t>
      </w:r>
      <w:r>
        <w:rPr>
          <w:rFonts w:ascii="仿宋" w:hAnsi="仿宋" w:eastAsia="仿宋"/>
          <w:sz w:val="32"/>
          <w:szCs w:val="32"/>
        </w:rPr>
        <w:t>6</w:t>
      </w:r>
      <w:r>
        <w:rPr>
          <w:rFonts w:hint="eastAsia" w:ascii="仿宋" w:hAnsi="仿宋" w:eastAsia="仿宋"/>
          <w:sz w:val="32"/>
          <w:szCs w:val="32"/>
        </w:rPr>
        <w:t>份；加盖公章的用统一表格制作的《全国教育科学规划</w:t>
      </w:r>
      <w:r>
        <w:rPr>
          <w:rFonts w:ascii="仿宋" w:hAnsi="仿宋" w:eastAsia="仿宋"/>
          <w:sz w:val="32"/>
          <w:szCs w:val="32"/>
        </w:rPr>
        <w:t>2015</w:t>
      </w:r>
      <w:r>
        <w:rPr>
          <w:rFonts w:hint="eastAsia" w:ascii="仿宋" w:hAnsi="仿宋" w:eastAsia="仿宋"/>
          <w:sz w:val="32"/>
          <w:szCs w:val="32"/>
        </w:rPr>
        <w:t>年度课题申报汇总表》</w:t>
      </w:r>
      <w:r>
        <w:rPr>
          <w:rFonts w:ascii="仿宋" w:hAnsi="仿宋" w:eastAsia="仿宋"/>
          <w:sz w:val="32"/>
          <w:szCs w:val="32"/>
        </w:rPr>
        <w:t>1</w:t>
      </w:r>
      <w:r>
        <w:rPr>
          <w:rFonts w:hint="eastAsia" w:ascii="仿宋" w:hAnsi="仿宋" w:eastAsia="仿宋"/>
          <w:sz w:val="32"/>
          <w:szCs w:val="32"/>
        </w:rPr>
        <w:t>份报省规划办，同时将上述材料电子版报送省规划办电子邮箱：</w:t>
      </w:r>
      <w:r>
        <w:fldChar w:fldCharType="begin"/>
      </w:r>
      <w:r>
        <w:instrText xml:space="preserve">HYPERLINK "mailto:sdsghb@sina.com（邮件主题为2015" </w:instrText>
      </w:r>
      <w:r>
        <w:fldChar w:fldCharType="separate"/>
      </w:r>
      <w:r>
        <w:rPr>
          <w:rFonts w:ascii="仿宋" w:hAnsi="仿宋" w:eastAsia="仿宋"/>
          <w:sz w:val="32"/>
          <w:szCs w:val="32"/>
        </w:rPr>
        <w:t>sdsghb@sina.com</w:t>
      </w:r>
      <w:r>
        <w:rPr>
          <w:rFonts w:hint="eastAsia" w:ascii="仿宋" w:hAnsi="仿宋" w:eastAsia="仿宋"/>
          <w:sz w:val="32"/>
          <w:szCs w:val="32"/>
        </w:rPr>
        <w:t>（邮件主题为</w:t>
      </w:r>
      <w:r>
        <w:rPr>
          <w:rFonts w:ascii="仿宋" w:hAnsi="仿宋" w:eastAsia="仿宋"/>
          <w:sz w:val="32"/>
          <w:szCs w:val="32"/>
        </w:rPr>
        <w:t>2015</w:t>
      </w:r>
      <w:r>
        <w:fldChar w:fldCharType="end"/>
      </w:r>
      <w:r>
        <w:rPr>
          <w:rFonts w:hint="eastAsia" w:ascii="仿宋" w:hAnsi="仿宋" w:eastAsia="仿宋"/>
          <w:sz w:val="32"/>
          <w:szCs w:val="32"/>
        </w:rPr>
        <w:t>全规办</w:t>
      </w:r>
      <w:r>
        <w:rPr>
          <w:rFonts w:ascii="仿宋" w:hAnsi="仿宋" w:eastAsia="仿宋"/>
          <w:sz w:val="32"/>
          <w:szCs w:val="32"/>
        </w:rPr>
        <w:t>+</w:t>
      </w:r>
      <w:r>
        <w:rPr>
          <w:rFonts w:hint="eastAsia" w:ascii="仿宋" w:hAnsi="仿宋" w:eastAsia="仿宋"/>
          <w:sz w:val="32"/>
          <w:szCs w:val="32"/>
        </w:rPr>
        <w:t>申报单位名称）。</w:t>
      </w:r>
    </w:p>
    <w:p>
      <w:pPr>
        <w:adjustRightInd w:val="0"/>
        <w:snapToGrid w:val="0"/>
        <w:spacing w:line="360" w:lineRule="auto"/>
        <w:ind w:firstLine="3168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省规划办不受理个人申报，各市规划办、各高校科研处务必严格遵守申报时间规定，逾期一律不予受理。材料报送地址：济南市青年东路</w:t>
      </w:r>
      <w:r>
        <w:rPr>
          <w:rFonts w:ascii="仿宋" w:hAnsi="仿宋" w:eastAsia="仿宋"/>
          <w:sz w:val="32"/>
          <w:szCs w:val="32"/>
        </w:rPr>
        <w:t>1</w:t>
      </w:r>
      <w:r>
        <w:rPr>
          <w:rFonts w:hint="eastAsia" w:ascii="仿宋" w:hAnsi="仿宋" w:eastAsia="仿宋"/>
          <w:sz w:val="32"/>
          <w:szCs w:val="32"/>
        </w:rPr>
        <w:t>号山东文教大厦南楼</w:t>
      </w:r>
      <w:r>
        <w:rPr>
          <w:rFonts w:ascii="仿宋" w:hAnsi="仿宋" w:eastAsia="仿宋"/>
          <w:sz w:val="32"/>
          <w:szCs w:val="32"/>
        </w:rPr>
        <w:t>828</w:t>
      </w:r>
      <w:r>
        <w:rPr>
          <w:rFonts w:hint="eastAsia" w:ascii="仿宋" w:hAnsi="仿宋" w:eastAsia="仿宋"/>
          <w:sz w:val="32"/>
          <w:szCs w:val="32"/>
        </w:rPr>
        <w:t>室，联系人：张老师，电话：</w:t>
      </w:r>
      <w:r>
        <w:rPr>
          <w:rFonts w:ascii="仿宋" w:hAnsi="仿宋" w:eastAsia="仿宋"/>
          <w:sz w:val="32"/>
          <w:szCs w:val="32"/>
        </w:rPr>
        <w:t>0531-81758305</w:t>
      </w:r>
      <w:r>
        <w:rPr>
          <w:rFonts w:hint="eastAsia" w:ascii="仿宋" w:hAnsi="仿宋" w:eastAsia="仿宋"/>
          <w:sz w:val="32"/>
          <w:szCs w:val="32"/>
        </w:rPr>
        <w:t>。</w:t>
      </w:r>
    </w:p>
    <w:p>
      <w:pPr>
        <w:adjustRightInd w:val="0"/>
        <w:snapToGrid w:val="0"/>
        <w:spacing w:line="360" w:lineRule="auto"/>
        <w:ind w:firstLine="31680" w:firstLineChars="200"/>
        <w:rPr>
          <w:rFonts w:ascii="仿宋" w:hAnsi="仿宋" w:eastAsia="仿宋"/>
          <w:sz w:val="32"/>
          <w:szCs w:val="32"/>
        </w:rPr>
      </w:pPr>
    </w:p>
    <w:p>
      <w:pPr>
        <w:adjustRightInd w:val="0"/>
        <w:snapToGrid w:val="0"/>
        <w:spacing w:line="360" w:lineRule="auto"/>
        <w:ind w:firstLine="31680" w:firstLineChars="200"/>
        <w:rPr>
          <w:rFonts w:ascii="仿宋" w:hAnsi="仿宋" w:eastAsia="仿宋"/>
          <w:sz w:val="32"/>
          <w:szCs w:val="32"/>
        </w:rPr>
      </w:pPr>
    </w:p>
    <w:p>
      <w:pPr>
        <w:adjustRightInd w:val="0"/>
        <w:snapToGrid w:val="0"/>
        <w:spacing w:line="360" w:lineRule="auto"/>
        <w:ind w:firstLine="31680" w:firstLineChars="200"/>
        <w:jc w:val="right"/>
        <w:rPr>
          <w:rFonts w:ascii="仿宋" w:hAnsi="仿宋" w:eastAsia="仿宋"/>
          <w:sz w:val="32"/>
          <w:szCs w:val="32"/>
        </w:rPr>
      </w:pPr>
      <w:r>
        <w:rPr>
          <w:rFonts w:hint="eastAsia" w:ascii="仿宋" w:hAnsi="仿宋" w:eastAsia="仿宋"/>
          <w:sz w:val="32"/>
          <w:szCs w:val="32"/>
        </w:rPr>
        <w:t>山东省教育科学规划领导小组办公室</w:t>
      </w:r>
    </w:p>
    <w:p>
      <w:pPr>
        <w:adjustRightInd w:val="0"/>
        <w:snapToGrid w:val="0"/>
        <w:spacing w:line="360" w:lineRule="auto"/>
        <w:ind w:right="560" w:firstLine="31680" w:firstLineChars="200"/>
        <w:jc w:val="center"/>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二〇一五年六月十五日</w:t>
      </w:r>
    </w:p>
    <w:p>
      <w:pPr>
        <w:jc w:val="center"/>
        <w:rPr>
          <w:rFonts w:ascii="黑体" w:eastAsia="黑体"/>
          <w:sz w:val="36"/>
          <w:szCs w:val="36"/>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65E3A"/>
    <w:rsid w:val="00076963"/>
    <w:rsid w:val="00092B18"/>
    <w:rsid w:val="000A1F9A"/>
    <w:rsid w:val="000C4CCD"/>
    <w:rsid w:val="000D3583"/>
    <w:rsid w:val="000E015D"/>
    <w:rsid w:val="001054BD"/>
    <w:rsid w:val="00160223"/>
    <w:rsid w:val="001719DA"/>
    <w:rsid w:val="001831B3"/>
    <w:rsid w:val="001E5DFC"/>
    <w:rsid w:val="00246A55"/>
    <w:rsid w:val="0027164E"/>
    <w:rsid w:val="00281660"/>
    <w:rsid w:val="00291AFD"/>
    <w:rsid w:val="002974CC"/>
    <w:rsid w:val="002B370B"/>
    <w:rsid w:val="002C4E08"/>
    <w:rsid w:val="002C6539"/>
    <w:rsid w:val="002D2894"/>
    <w:rsid w:val="002E1D1B"/>
    <w:rsid w:val="002F4016"/>
    <w:rsid w:val="00311D9D"/>
    <w:rsid w:val="003235C6"/>
    <w:rsid w:val="003304E9"/>
    <w:rsid w:val="00395AC6"/>
    <w:rsid w:val="003A7060"/>
    <w:rsid w:val="003C145F"/>
    <w:rsid w:val="003C4E37"/>
    <w:rsid w:val="003D3E99"/>
    <w:rsid w:val="003E2849"/>
    <w:rsid w:val="003E2FB7"/>
    <w:rsid w:val="004220A3"/>
    <w:rsid w:val="004F2A33"/>
    <w:rsid w:val="004F6513"/>
    <w:rsid w:val="00520691"/>
    <w:rsid w:val="00527BEE"/>
    <w:rsid w:val="005301A7"/>
    <w:rsid w:val="0056240C"/>
    <w:rsid w:val="0058029B"/>
    <w:rsid w:val="0058136B"/>
    <w:rsid w:val="005A05C2"/>
    <w:rsid w:val="005A34E6"/>
    <w:rsid w:val="0062028C"/>
    <w:rsid w:val="0065250B"/>
    <w:rsid w:val="00654D35"/>
    <w:rsid w:val="00677192"/>
    <w:rsid w:val="006D7B0E"/>
    <w:rsid w:val="006F21DB"/>
    <w:rsid w:val="0071049E"/>
    <w:rsid w:val="007603B1"/>
    <w:rsid w:val="007829EA"/>
    <w:rsid w:val="007D4B48"/>
    <w:rsid w:val="00830F5F"/>
    <w:rsid w:val="00852ABE"/>
    <w:rsid w:val="0085655E"/>
    <w:rsid w:val="00940166"/>
    <w:rsid w:val="00955E58"/>
    <w:rsid w:val="00965E3A"/>
    <w:rsid w:val="009A1605"/>
    <w:rsid w:val="009A7AF5"/>
    <w:rsid w:val="009D00B7"/>
    <w:rsid w:val="009D5090"/>
    <w:rsid w:val="00A11E54"/>
    <w:rsid w:val="00A31A06"/>
    <w:rsid w:val="00A8457D"/>
    <w:rsid w:val="00AB561D"/>
    <w:rsid w:val="00AD4EF5"/>
    <w:rsid w:val="00B05E86"/>
    <w:rsid w:val="00B15D42"/>
    <w:rsid w:val="00BB0939"/>
    <w:rsid w:val="00BB28FD"/>
    <w:rsid w:val="00BC4FBF"/>
    <w:rsid w:val="00BF52D3"/>
    <w:rsid w:val="00C0349A"/>
    <w:rsid w:val="00C251A0"/>
    <w:rsid w:val="00C302F8"/>
    <w:rsid w:val="00C36A9D"/>
    <w:rsid w:val="00C52C77"/>
    <w:rsid w:val="00C55214"/>
    <w:rsid w:val="00CC6C39"/>
    <w:rsid w:val="00CE386D"/>
    <w:rsid w:val="00D148C5"/>
    <w:rsid w:val="00D211BE"/>
    <w:rsid w:val="00D27731"/>
    <w:rsid w:val="00DB5DCE"/>
    <w:rsid w:val="00E42AEE"/>
    <w:rsid w:val="00EB2E3A"/>
    <w:rsid w:val="00EF287A"/>
    <w:rsid w:val="00F045E6"/>
    <w:rsid w:val="00F3195A"/>
    <w:rsid w:val="00F3753F"/>
    <w:rsid w:val="00F76711"/>
    <w:rsid w:val="00F92976"/>
    <w:rsid w:val="00FB5934"/>
    <w:rsid w:val="00FE2AB3"/>
    <w:rsid w:val="177B7A7D"/>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99"/>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Date"/>
    <w:basedOn w:val="1"/>
    <w:next w:val="1"/>
    <w:link w:val="12"/>
    <w:uiPriority w:val="99"/>
    <w:pPr>
      <w:ind w:left="100" w:leftChars="2500"/>
    </w:pPr>
  </w:style>
  <w:style w:type="paragraph" w:styleId="3">
    <w:name w:val="Balloon Text"/>
    <w:basedOn w:val="1"/>
    <w:link w:val="9"/>
    <w:semiHidden/>
    <w:uiPriority w:val="99"/>
    <w:rPr>
      <w:sz w:val="18"/>
      <w:szCs w:val="18"/>
    </w:rPr>
  </w:style>
  <w:style w:type="paragraph" w:styleId="4">
    <w:name w:val="footer"/>
    <w:basedOn w:val="1"/>
    <w:link w:val="11"/>
    <w:uiPriority w:val="99"/>
    <w:pPr>
      <w:tabs>
        <w:tab w:val="center" w:pos="4153"/>
        <w:tab w:val="right" w:pos="8306"/>
      </w:tabs>
      <w:snapToGrid w:val="0"/>
      <w:jc w:val="left"/>
    </w:pPr>
    <w:rPr>
      <w:sz w:val="18"/>
      <w:szCs w:val="18"/>
    </w:rPr>
  </w:style>
  <w:style w:type="paragraph" w:styleId="5">
    <w:name w:val="header"/>
    <w:basedOn w:val="1"/>
    <w:link w:val="10"/>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99"/>
    <w:rPr>
      <w:rFonts w:cs="Times New Roman"/>
      <w:color w:val="0000FF"/>
      <w:u w:val="single"/>
    </w:rPr>
  </w:style>
  <w:style w:type="character" w:customStyle="1" w:styleId="9">
    <w:name w:val="Balloon Text Char"/>
    <w:basedOn w:val="6"/>
    <w:link w:val="3"/>
    <w:semiHidden/>
    <w:locked/>
    <w:uiPriority w:val="99"/>
    <w:rPr>
      <w:rFonts w:cs="Times New Roman"/>
      <w:sz w:val="2"/>
    </w:rPr>
  </w:style>
  <w:style w:type="character" w:customStyle="1" w:styleId="10">
    <w:name w:val="Header Char"/>
    <w:basedOn w:val="6"/>
    <w:link w:val="5"/>
    <w:semiHidden/>
    <w:locked/>
    <w:uiPriority w:val="99"/>
    <w:rPr>
      <w:rFonts w:cs="Times New Roman"/>
      <w:sz w:val="18"/>
      <w:szCs w:val="18"/>
    </w:rPr>
  </w:style>
  <w:style w:type="character" w:customStyle="1" w:styleId="11">
    <w:name w:val="Footer Char"/>
    <w:basedOn w:val="6"/>
    <w:link w:val="4"/>
    <w:semiHidden/>
    <w:locked/>
    <w:uiPriority w:val="99"/>
    <w:rPr>
      <w:rFonts w:cs="Times New Roman"/>
      <w:sz w:val="18"/>
      <w:szCs w:val="18"/>
    </w:rPr>
  </w:style>
  <w:style w:type="character" w:customStyle="1" w:styleId="12">
    <w:name w:val="Date Char"/>
    <w:basedOn w:val="6"/>
    <w:link w:val="2"/>
    <w:semiHidden/>
    <w:locked/>
    <w:uiPriority w:val="99"/>
    <w:rPr>
      <w:rFonts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chengxu's faminly</Company>
  <Pages>2</Pages>
  <Words>114</Words>
  <Characters>652</Characters>
  <Lines>0</Lines>
  <Paragraphs>0</Paragraphs>
  <ScaleCrop>false</ScaleCrop>
  <LinksUpToDate>false</LinksUpToDate>
  <CharactersWithSpaces>0</CharactersWithSpaces>
  <Application>WPS Office 个人版_9.1.0.4993_{F1E327BC-269C-435d-A152-05C5408002CA}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2015-06-15T06:40:00Z</dcterms:created>
  <dc:creator>chengxinyuan</dc:creator>
  <cp:lastModifiedBy>Administrator</cp:lastModifiedBy>
  <cp:lastPrinted>2014-08-06T02:51:00Z</cp:lastPrinted>
  <dcterms:modified xsi:type="dcterms:W3CDTF">2015-07-06T03:39:14Z</dcterms:modified>
  <dc:title>关于转发《教育部办公厅关于组织实施全国教育科学研究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